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E3A6" w14:textId="77777777" w:rsidR="000D2157" w:rsidRDefault="000D2157">
      <w:pPr>
        <w:jc w:val="center"/>
      </w:pPr>
    </w:p>
    <w:p w14:paraId="09DFF9A0" w14:textId="77777777" w:rsidR="000D2157" w:rsidRDefault="000D2157"/>
    <w:p w14:paraId="707829F1" w14:textId="77777777" w:rsidR="000D2157" w:rsidRDefault="00B9720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2D845E" wp14:editId="2F3BDB60">
                <wp:simplePos x="0" y="0"/>
                <wp:positionH relativeFrom="margin">
                  <wp:posOffset>0</wp:posOffset>
                </wp:positionH>
                <wp:positionV relativeFrom="paragraph">
                  <wp:posOffset>163223</wp:posOffset>
                </wp:positionV>
                <wp:extent cx="8947778" cy="668216"/>
                <wp:effectExtent l="0" t="0" r="25400" b="17780"/>
                <wp:wrapNone/>
                <wp:docPr id="2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47778" cy="668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shape 1" o:spid="_x0000_s1" o:spt="2" type="#_x0000_t2" style="position:absolute;z-index:251659264;o:allowoverlap:true;o:allowincell:true;mso-position-horizontal-relative:margin;margin-left:0.00pt;mso-position-horizontal:absolute;mso-position-vertical-relative:text;margin-top:12.85pt;mso-position-vertical:absolute;width:704.55pt;height:52.62pt;mso-wrap-distance-left:9.00pt;mso-wrap-distance-top:0.00pt;mso-wrap-distance-right:9.00pt;mso-wrap-distance-bottom:0.00pt;visibility:visible;" fillcolor="#156082" strokecolor="#FFFFFF" strokeweight="1.50pt">
                <v:stroke dashstyle="solid"/>
              </v:shape>
            </w:pict>
          </mc:Fallback>
        </mc:AlternateContent>
      </w:r>
    </w:p>
    <w:p w14:paraId="4CEDF2F1" w14:textId="77777777" w:rsidR="000D2157" w:rsidRDefault="00B9720C">
      <w:pPr>
        <w:spacing w:after="120"/>
        <w:jc w:val="center"/>
        <w:rPr>
          <w:rFonts w:ascii="Cambria" w:hAnsi="Cambria"/>
          <w:b/>
          <w:bCs/>
          <w:color w:val="215E99" w:themeColor="text2" w:themeTint="BF"/>
          <w:sz w:val="36"/>
          <w:szCs w:val="36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BAFD8" wp14:editId="2675AD43">
                <wp:simplePos x="0" y="0"/>
                <wp:positionH relativeFrom="margin">
                  <wp:posOffset>529590</wp:posOffset>
                </wp:positionH>
                <wp:positionV relativeFrom="paragraph">
                  <wp:posOffset>114328</wp:posOffset>
                </wp:positionV>
                <wp:extent cx="8013561" cy="356717"/>
                <wp:effectExtent l="0" t="0" r="0" b="571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013561" cy="356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 w14:paraId="66B3AD99" w14:textId="77777777" w:rsidR="000D2157" w:rsidRDefault="00B9720C">
                            <w:pPr>
                              <w:spacing w:after="12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CAEDFB" w:themeColor="accent4" w:themeTint="33"/>
                                <w:sz w:val="36"/>
                                <w:szCs w:val="36"/>
                              </w:rPr>
                              <w:t>BA-Arbeitsthemen Bewerbungszeit 01.06.-15.06.2026</w:t>
                            </w:r>
                          </w:p>
                          <w:p w14:paraId="1617A6B8" w14:textId="77777777" w:rsidR="000D2157" w:rsidRDefault="000D2157">
                            <w:pPr>
                              <w:rPr>
                                <w:color w:val="CAEDFB" w:themeColor="accent4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5BAFD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1.7pt;margin-top:9pt;width:631pt;height:28.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" filled="f" stroked="f" strokeweight=".5pt">
                <v:textbox>
                  <w:txbxContent>
                    <w:p w14:paraId="66B3AD99" w14:textId="77777777" w:rsidR="000D2157" w:rsidRDefault="00B9720C">
                      <w:pPr>
                        <w:spacing w:after="120"/>
                        <w:jc w:val="center"/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CAEDFB" w:themeColor="accent4" w:themeTint="33"/>
                          <w:sz w:val="36"/>
                          <w:szCs w:val="36"/>
                        </w:rPr>
                        <w:t>BA-Arbeitsthemen Bewerbungszeit 01.06.-15.06.2026</w:t>
                      </w:r>
                    </w:p>
                    <w:p w14:paraId="1617A6B8" w14:textId="77777777" w:rsidR="000D2157" w:rsidRDefault="000D2157">
                      <w:pPr>
                        <w:rPr>
                          <w:color w:val="CAEDFB" w:themeColor="accent4" w:themeTint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DF312" w14:textId="77777777" w:rsidR="000D2157" w:rsidRDefault="000D2157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</w:p>
    <w:p w14:paraId="63B2EC7A" w14:textId="77777777" w:rsidR="000D2157" w:rsidRDefault="000D2157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</w:p>
    <w:p w14:paraId="6226F696" w14:textId="77777777" w:rsidR="000D2157" w:rsidRDefault="00B9720C">
      <w:pPr>
        <w:spacing w:after="120"/>
        <w:jc w:val="center"/>
        <w:rPr>
          <w:rFonts w:ascii="Cambria" w:hAnsi="Cambria"/>
          <w:b/>
          <w:bCs/>
          <w:color w:val="C00000"/>
          <w:sz w:val="28"/>
          <w:szCs w:val="28"/>
        </w:rPr>
      </w:pPr>
      <w:r>
        <w:rPr>
          <w:rFonts w:ascii="Cambria" w:hAnsi="Cambria"/>
          <w:b/>
          <w:bCs/>
          <w:color w:val="C00000"/>
          <w:sz w:val="28"/>
          <w:szCs w:val="28"/>
        </w:rPr>
        <w:t>Bitte tragen Sie Ihren Namen bei dem Thema ei</w:t>
      </w:r>
      <w:r>
        <w:rPr>
          <w:rFonts w:ascii="Cambria" w:hAnsi="Cambria"/>
          <w:b/>
          <w:bCs/>
          <w:color w:val="C00000"/>
          <w:sz w:val="28"/>
          <w:szCs w:val="28"/>
        </w:rPr>
        <w:t xml:space="preserve">n, das für Sie die höchste Priorität besitzt bzw. formulieren Sie einen eigenen Themenvorschlag am Ende der Tabelle. Kennzeichnen Sie hierzu Ihre Themenwünsche mit Prioritätsangabe (von 1 (hoch) bis 3 (niedrig)). Sie dürfen max. 3 Themen wählen. </w:t>
      </w:r>
    </w:p>
    <w:p w14:paraId="0BCEB269" w14:textId="77777777" w:rsidR="000D2157" w:rsidRDefault="000D2157">
      <w:pPr>
        <w:rPr>
          <w:iCs/>
          <w:sz w:val="22"/>
          <w:szCs w:val="22"/>
        </w:rPr>
      </w:pPr>
    </w:p>
    <w:p w14:paraId="139F186D" w14:textId="77777777" w:rsidR="000D2157" w:rsidRDefault="000D2157">
      <w:pPr>
        <w:rPr>
          <w:iCs/>
          <w:sz w:val="22"/>
          <w:szCs w:val="22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541"/>
        <w:gridCol w:w="3253"/>
        <w:gridCol w:w="10235"/>
      </w:tblGrid>
      <w:tr w:rsidR="00EE306D" w14:paraId="246A89AE" w14:textId="77777777" w:rsidTr="00EE306D">
        <w:tc>
          <w:tcPr>
            <w:tcW w:w="541" w:type="dxa"/>
          </w:tcPr>
          <w:p w14:paraId="5978BC80" w14:textId="77777777" w:rsidR="00EE306D" w:rsidRDefault="00EE306D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3253" w:type="dxa"/>
          </w:tcPr>
          <w:p w14:paraId="07E46F78" w14:textId="77777777" w:rsidR="00EE306D" w:rsidRDefault="00EE306D">
            <w:pPr>
              <w:tabs>
                <w:tab w:val="left" w:pos="1495"/>
              </w:tabs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ab/>
              <w:t>Studierende</w:t>
            </w:r>
          </w:p>
        </w:tc>
        <w:tc>
          <w:tcPr>
            <w:tcW w:w="10235" w:type="dxa"/>
          </w:tcPr>
          <w:p w14:paraId="6194F076" w14:textId="77777777" w:rsidR="00EE306D" w:rsidRDefault="00EE306D">
            <w:pPr>
              <w:spacing w:before="120" w:after="120" w:line="276" w:lineRule="auto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iCs/>
                <w:sz w:val="22"/>
                <w:szCs w:val="22"/>
              </w:rPr>
              <w:t>Thema</w:t>
            </w:r>
          </w:p>
        </w:tc>
      </w:tr>
      <w:tr w:rsidR="00EE306D" w14:paraId="284CF507" w14:textId="77777777" w:rsidTr="00EE306D">
        <w:tc>
          <w:tcPr>
            <w:tcW w:w="541" w:type="dxa"/>
          </w:tcPr>
          <w:p w14:paraId="2630ACA8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</w:t>
            </w:r>
          </w:p>
        </w:tc>
        <w:tc>
          <w:tcPr>
            <w:tcW w:w="3253" w:type="dxa"/>
          </w:tcPr>
          <w:p w14:paraId="345C77B5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5A6929F4" w14:textId="60457474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Immersive Virtual Reality Simulationen im Einzelhandel: Einfluss der Rollen VR-Performer und VR-Observer auf den Lernprozess</w:t>
            </w:r>
          </w:p>
        </w:tc>
      </w:tr>
      <w:tr w:rsidR="00EE306D" w14:paraId="6433C14B" w14:textId="77777777" w:rsidTr="00EE306D">
        <w:tc>
          <w:tcPr>
            <w:tcW w:w="541" w:type="dxa"/>
          </w:tcPr>
          <w:p w14:paraId="2B60E4B0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2</w:t>
            </w:r>
          </w:p>
        </w:tc>
        <w:tc>
          <w:tcPr>
            <w:tcW w:w="3253" w:type="dxa"/>
          </w:tcPr>
          <w:p w14:paraId="3F3207EF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7D67270C" w14:textId="77777777" w:rsidR="00EE306D" w:rsidRDefault="00EE306D">
            <w:pPr>
              <w:pStyle w:val="StandardWeb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 xml:space="preserve">Didaktische Unterstützungsstrategien für beobachtende Lernende in immersiven VR-Lernumgebungen im Kontext beruflicher Bildung – Ein systematisches Literaturreview und die Entwicklung eines Reflexionsbogens </w:t>
            </w:r>
          </w:p>
        </w:tc>
      </w:tr>
      <w:tr w:rsidR="00EE306D" w14:paraId="60AD9453" w14:textId="77777777" w:rsidTr="00EE306D">
        <w:tc>
          <w:tcPr>
            <w:tcW w:w="541" w:type="dxa"/>
          </w:tcPr>
          <w:p w14:paraId="308B3EBA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3</w:t>
            </w:r>
          </w:p>
        </w:tc>
        <w:tc>
          <w:tcPr>
            <w:tcW w:w="3253" w:type="dxa"/>
          </w:tcPr>
          <w:p w14:paraId="68F22F4C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2E0D6C9F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Die Rolle KI-basierter Chatbots in kreativen Lernprozessen in der Hochschulbildung – Ein systematisches Literaturreview</w:t>
            </w:r>
          </w:p>
        </w:tc>
      </w:tr>
      <w:tr w:rsidR="00EE306D" w14:paraId="7D5D13A1" w14:textId="77777777" w:rsidTr="00EE306D">
        <w:tc>
          <w:tcPr>
            <w:tcW w:w="541" w:type="dxa"/>
          </w:tcPr>
          <w:p w14:paraId="7E20284A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4</w:t>
            </w:r>
          </w:p>
        </w:tc>
        <w:tc>
          <w:tcPr>
            <w:tcW w:w="3253" w:type="dxa"/>
          </w:tcPr>
          <w:p w14:paraId="32B68D8E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20613F01" w14:textId="77777777" w:rsidR="00EE306D" w:rsidRDefault="00EE306D">
            <w:pPr>
              <w:spacing w:before="120" w:after="120" w:line="276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Soziale Einbettung von Lernenden: Eine systematische Literaturübersicht zu bestehenden Modellen</w:t>
            </w:r>
          </w:p>
        </w:tc>
      </w:tr>
      <w:tr w:rsidR="00EE306D" w14:paraId="24BC4491" w14:textId="77777777" w:rsidTr="00EE306D">
        <w:tc>
          <w:tcPr>
            <w:tcW w:w="541" w:type="dxa"/>
          </w:tcPr>
          <w:p w14:paraId="76C7103B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5</w:t>
            </w:r>
          </w:p>
        </w:tc>
        <w:tc>
          <w:tcPr>
            <w:tcW w:w="3253" w:type="dxa"/>
          </w:tcPr>
          <w:p w14:paraId="4DC6944E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56344B54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Ausbildungsqualität aus Sicht der Auszubildenden und Ausbildenden</w:t>
            </w:r>
          </w:p>
        </w:tc>
      </w:tr>
      <w:tr w:rsidR="00EE306D" w14:paraId="4703374E" w14:textId="77777777" w:rsidTr="00EE306D">
        <w:tc>
          <w:tcPr>
            <w:tcW w:w="541" w:type="dxa"/>
          </w:tcPr>
          <w:p w14:paraId="659F3209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6</w:t>
            </w:r>
          </w:p>
        </w:tc>
        <w:tc>
          <w:tcPr>
            <w:tcW w:w="3253" w:type="dxa"/>
          </w:tcPr>
          <w:p w14:paraId="274F686D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2C65D951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Berufliche Identität kaufmännischer Auszubildender – ein systematisches Literaturreview</w:t>
            </w:r>
          </w:p>
        </w:tc>
      </w:tr>
      <w:tr w:rsidR="00EE306D" w14:paraId="2934B3B1" w14:textId="77777777" w:rsidTr="00EE306D">
        <w:tc>
          <w:tcPr>
            <w:tcW w:w="541" w:type="dxa"/>
          </w:tcPr>
          <w:p w14:paraId="616D7417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3253" w:type="dxa"/>
          </w:tcPr>
          <w:p w14:paraId="3F0B7E82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37010723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Ausbildungsqualität aus Sicht der Gen Z: Eine Sekundäranalyse von Interviews mit Auszubildenden</w:t>
            </w:r>
          </w:p>
        </w:tc>
      </w:tr>
      <w:tr w:rsidR="00EE306D" w14:paraId="21904E68" w14:textId="77777777" w:rsidTr="00EE306D">
        <w:tc>
          <w:tcPr>
            <w:tcW w:w="541" w:type="dxa"/>
          </w:tcPr>
          <w:p w14:paraId="65DE6125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8</w:t>
            </w:r>
          </w:p>
        </w:tc>
        <w:tc>
          <w:tcPr>
            <w:tcW w:w="3253" w:type="dxa"/>
          </w:tcPr>
          <w:p w14:paraId="1F41AC19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357404E3" w14:textId="77777777" w:rsidR="00EE306D" w:rsidRDefault="00EE306D">
            <w:pPr>
              <w:pStyle w:val="docdata"/>
              <w:spacing w:before="120" w:beforeAutospacing="0" w:after="120" w:afterAutospacing="0" w:line="273" w:lineRule="auto"/>
            </w:pPr>
            <w:r>
              <w:rPr>
                <w:rFonts w:ascii="Aptos" w:hAnsi="Aptos"/>
                <w:color w:val="000000"/>
                <w:sz w:val="22"/>
                <w:szCs w:val="22"/>
              </w:rPr>
              <w:t>Verbessert erzwungenes eigenständiges Vordenken/-arbeiten vor der KI-Nutzung die Qualität von Forschungsfragen im Vergleich zur sofortigen KI-gestützten Erarbeitung? Ein systematisches Literaturreview.</w:t>
            </w:r>
          </w:p>
        </w:tc>
      </w:tr>
      <w:tr w:rsidR="00EE306D" w14:paraId="08612391" w14:textId="77777777" w:rsidTr="00EE306D">
        <w:tc>
          <w:tcPr>
            <w:tcW w:w="541" w:type="dxa"/>
          </w:tcPr>
          <w:p w14:paraId="381CB583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9</w:t>
            </w:r>
          </w:p>
        </w:tc>
        <w:tc>
          <w:tcPr>
            <w:tcW w:w="3253" w:type="dxa"/>
          </w:tcPr>
          <w:p w14:paraId="406C323D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11D02B39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EE306D" w14:paraId="6F8C5432" w14:textId="77777777" w:rsidTr="00EE306D">
        <w:tc>
          <w:tcPr>
            <w:tcW w:w="541" w:type="dxa"/>
          </w:tcPr>
          <w:p w14:paraId="119E39FC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10</w:t>
            </w:r>
          </w:p>
        </w:tc>
        <w:tc>
          <w:tcPr>
            <w:tcW w:w="3253" w:type="dxa"/>
          </w:tcPr>
          <w:p w14:paraId="7E2336E2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27FD811A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EE306D" w14:paraId="6F705C14" w14:textId="77777777" w:rsidTr="00EE306D">
        <w:tc>
          <w:tcPr>
            <w:tcW w:w="541" w:type="dxa"/>
          </w:tcPr>
          <w:p w14:paraId="7586E298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11</w:t>
            </w:r>
          </w:p>
        </w:tc>
        <w:tc>
          <w:tcPr>
            <w:tcW w:w="3253" w:type="dxa"/>
          </w:tcPr>
          <w:p w14:paraId="52AFD8BB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3F1A4CFC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  <w:tr w:rsidR="00EE306D" w14:paraId="4E9BB583" w14:textId="77777777" w:rsidTr="00EE306D">
        <w:tc>
          <w:tcPr>
            <w:tcW w:w="541" w:type="dxa"/>
          </w:tcPr>
          <w:p w14:paraId="448966AC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12</w:t>
            </w:r>
          </w:p>
        </w:tc>
        <w:tc>
          <w:tcPr>
            <w:tcW w:w="3253" w:type="dxa"/>
          </w:tcPr>
          <w:p w14:paraId="6634B49E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  <w:tc>
          <w:tcPr>
            <w:tcW w:w="10235" w:type="dxa"/>
          </w:tcPr>
          <w:p w14:paraId="0F01ECF7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  <w:r>
              <w:rPr>
                <w:rFonts w:ascii="Aptos" w:hAnsi="Aptos"/>
                <w:iCs/>
                <w:sz w:val="22"/>
                <w:szCs w:val="22"/>
              </w:rPr>
              <w:t>Eigener Themenvorschlag:</w:t>
            </w:r>
          </w:p>
          <w:p w14:paraId="57EC71DB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  <w:p w14:paraId="24D8CC41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  <w:p w14:paraId="2C20B075" w14:textId="77777777" w:rsidR="00EE306D" w:rsidRDefault="00EE306D">
            <w:pPr>
              <w:spacing w:before="120" w:after="120" w:line="276" w:lineRule="auto"/>
              <w:rPr>
                <w:rFonts w:ascii="Aptos" w:hAnsi="Aptos"/>
                <w:iCs/>
                <w:sz w:val="22"/>
                <w:szCs w:val="22"/>
              </w:rPr>
            </w:pPr>
          </w:p>
        </w:tc>
      </w:tr>
    </w:tbl>
    <w:p w14:paraId="468F3D07" w14:textId="77777777" w:rsidR="000D2157" w:rsidRDefault="000D2157">
      <w:pPr>
        <w:rPr>
          <w:iCs/>
          <w:sz w:val="22"/>
          <w:szCs w:val="22"/>
        </w:rPr>
      </w:pPr>
    </w:p>
    <w:p w14:paraId="0025189A" w14:textId="77777777" w:rsidR="000D2157" w:rsidRDefault="000D2157"/>
    <w:sectPr w:rsidR="000D2157">
      <w:headerReference w:type="default" r:id="rId7"/>
      <w:pgSz w:w="16838" w:h="11906"/>
      <w:pgMar w:top="1572" w:right="1417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BB21" w14:textId="77777777" w:rsidR="00B9720C" w:rsidRDefault="00B9720C">
      <w:r>
        <w:separator/>
      </w:r>
    </w:p>
  </w:endnote>
  <w:endnote w:type="continuationSeparator" w:id="0">
    <w:p w14:paraId="7C53A713" w14:textId="77777777" w:rsidR="00B9720C" w:rsidRDefault="00B9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4B30" w14:textId="77777777" w:rsidR="00B9720C" w:rsidRDefault="00B9720C">
      <w:r>
        <w:separator/>
      </w:r>
    </w:p>
  </w:footnote>
  <w:footnote w:type="continuationSeparator" w:id="0">
    <w:p w14:paraId="299393C6" w14:textId="77777777" w:rsidR="00B9720C" w:rsidRDefault="00B9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76F4" w14:textId="77777777" w:rsidR="000D2157" w:rsidRDefault="00B9720C">
    <w:pPr>
      <w:pStyle w:val="Kopfzeile"/>
      <w:jc w:val="center"/>
    </w:pPr>
    <w:r>
      <w:rPr>
        <w:noProof/>
      </w:rPr>
      <mc:AlternateContent>
        <mc:Choice Requires="wpg">
          <w:drawing>
            <wp:inline distT="0" distB="0" distL="0" distR="0" wp14:anchorId="125C14D4" wp14:editId="7197C6D4">
              <wp:extent cx="6290268" cy="711619"/>
              <wp:effectExtent l="0" t="0" r="0" b="0"/>
              <wp:docPr id="1" name="Grafik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586358" cy="74511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95.30pt;height:56.03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72416"/>
    <w:multiLevelType w:val="multilevel"/>
    <w:tmpl w:val="35BE2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57"/>
    <w:rsid w:val="000D2157"/>
    <w:rsid w:val="00B9720C"/>
    <w:rsid w:val="00E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65DE"/>
  <w15:docId w15:val="{518880B4-BC91-41BC-9425-FEE94F21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Seeber, Susan</dc:creator>
  <cp:keywords/>
  <dc:description/>
  <cp:lastModifiedBy>Krebs, Philine</cp:lastModifiedBy>
  <cp:revision>8</cp:revision>
  <dcterms:created xsi:type="dcterms:W3CDTF">2026-05-27T07:44:00Z</dcterms:created>
  <dcterms:modified xsi:type="dcterms:W3CDTF">2026-05-29T11:47:00Z</dcterms:modified>
</cp:coreProperties>
</file>